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BFAB" w14:textId="29F115DD" w:rsidR="002718DB" w:rsidRPr="001F6BEA" w:rsidRDefault="006061F7" w:rsidP="00542074">
      <w:pPr>
        <w:pStyle w:val="Couv4titrethese"/>
      </w:pPr>
      <w:r>
        <w:t>Naissance de l’individu et émergence du roman de formation : la contribution du roman-mémoires des années 1730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147"/>
      </w:tblGrid>
      <w:tr w:rsidR="004E5E8F" w:rsidRPr="009076ED" w14:paraId="204F9D32" w14:textId="77777777" w:rsidTr="009076ED">
        <w:trPr>
          <w:cantSplit/>
          <w:trHeight w:val="1701"/>
        </w:trPr>
        <w:tc>
          <w:tcPr>
            <w:tcW w:w="5000" w:type="pct"/>
            <w:shd w:val="clear" w:color="auto" w:fill="auto"/>
          </w:tcPr>
          <w:p w14:paraId="0C31BE2B" w14:textId="77777777" w:rsidR="004E5E8F" w:rsidRPr="008D6409" w:rsidRDefault="001F6BEA" w:rsidP="00542074">
            <w:pPr>
              <w:pStyle w:val="Couv4titreresume"/>
            </w:pPr>
            <w:r w:rsidRPr="00542074">
              <w:t>Résumé</w:t>
            </w:r>
          </w:p>
          <w:p w14:paraId="616473C6" w14:textId="5F8DDE44" w:rsidR="009606CE" w:rsidRPr="009606CE" w:rsidRDefault="00AA4BAE" w:rsidP="009606C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discours critique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sur le </w:t>
            </w:r>
            <w:r w:rsidRPr="009606CE">
              <w:rPr>
                <w:rFonts w:asciiTheme="majorBidi" w:hAnsiTheme="majorBidi" w:cstheme="majorBidi"/>
                <w:sz w:val="20"/>
                <w:szCs w:val="20"/>
              </w:rPr>
              <w:t>roman-mémoires des années 1730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semble souvent hésiter entre deux attitudes antagonistes : soit il y discerne les signes d’une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« 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naissance de l’individu »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et y voit l’émergence du roman de formation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06C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9606C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Bildungsroman</w:t>
            </w:r>
            <w:r w:rsidRPr="009606CE">
              <w:rPr>
                <w:rFonts w:asciiTheme="majorBidi" w:hAnsiTheme="majorBidi" w:cstheme="majorBidi"/>
                <w:sz w:val="20"/>
                <w:szCs w:val="20"/>
              </w:rPr>
              <w:t>).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Soit il considère que ces catégories sont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anachronique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s :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la notion d’« individu », comme être conscient de soi et de son intériorité affective et comme l’élément élémentaire dont se compose la société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n’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appar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aît-elle pas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seulement dans</w:t>
            </w:r>
            <w:r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la deuxième moitié du XVIII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e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siècle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en particulier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dans la réflexion de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Jean-Jacques Rousseau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 ?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et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le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roman de formation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ne trouve-t-il pas son prototype en Allemagne, avec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Les Années d’apprentissage de Wilhelm Meister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de Goethe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?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Mais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en réalité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Rousseau et Goethe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sont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tous deux</w:t>
            </w:r>
            <w:r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grands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lecteurs de romans-mémoires 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ils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s’en sont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nettement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inspirés dans leurs écrits.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La présente thèse souhaite montrer que le roman-mémoires des années 1730 peut être analysé comme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un roman de formation,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dans la mesure où il décrit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les étapes constitutives de l’identité d’un individu et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porte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une vision du monde sur sa place dans la vie sociale.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Mais une telle hypothèse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implique de s’interroger sur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cette forme romanesque « rebelle à tout ordre »</w:t>
            </w:r>
            <w:r w:rsidR="00E72EB4">
              <w:rPr>
                <w:rFonts w:asciiTheme="majorBidi" w:hAnsiTheme="majorBidi" w:cstheme="majorBidi"/>
                <w:sz w:val="20"/>
                <w:szCs w:val="20"/>
              </w:rPr>
              <w:t xml:space="preserve"> (Henri Coulet, </w:t>
            </w:r>
            <w:r w:rsidR="00E72EB4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Le Roman jusqu’à la Révolution</w:t>
            </w:r>
            <w:r w:rsidR="00E72EB4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Comment définir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cette forme romanesque ? Quel est son rôle dans la cristallisation de la notion d’« individu » ainsi que du roman de formation ? C’est à ces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questions</w:t>
            </w:r>
            <w:r w:rsidR="002D6F63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que s’efforce de répondre cette thèse en analysant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quelques</w:t>
            </w:r>
            <w:r w:rsidR="002D6F63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œuvres emblématiques de cette nouvelle forme romanesque,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 xml:space="preserve">ainsi que leurs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enjeux,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leurs</w:t>
            </w:r>
            <w:r w:rsidR="002D6F63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dimensions philosophiques, esthétiques, politiques et anthropologiques et </w:t>
            </w:r>
            <w:r w:rsidR="002D6F63">
              <w:rPr>
                <w:rFonts w:asciiTheme="majorBidi" w:hAnsiTheme="majorBidi" w:cstheme="majorBidi"/>
                <w:sz w:val="20"/>
                <w:szCs w:val="20"/>
              </w:rPr>
              <w:t>leurs</w:t>
            </w:r>
            <w:r w:rsidR="002D6F63" w:rsidRPr="009606C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contributions à l’avènement de l’individu et à l’émergence du roman de formation (</w:t>
            </w:r>
            <w:r w:rsidR="009606CE" w:rsidRPr="009606C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Bildungsroman</w:t>
            </w:r>
            <w:r w:rsidR="009606CE" w:rsidRPr="009606C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  <w:p w14:paraId="2A7CA89F" w14:textId="77777777" w:rsidR="004E5E8F" w:rsidRPr="009076ED" w:rsidRDefault="004E5E8F" w:rsidP="00542074">
            <w:pPr>
              <w:pStyle w:val="Couv4texteresume"/>
            </w:pPr>
          </w:p>
          <w:p w14:paraId="0B5D95FC" w14:textId="6094C42C" w:rsidR="004E5E8F" w:rsidRPr="006061F7" w:rsidRDefault="004E5E8F" w:rsidP="00542074">
            <w:pPr>
              <w:pStyle w:val="Couv4texteresume"/>
              <w:rPr>
                <w:i/>
                <w:iCs/>
              </w:rPr>
            </w:pPr>
            <w:r w:rsidRPr="009076ED">
              <w:rPr>
                <w:b/>
              </w:rPr>
              <w:t>Mots-clés</w:t>
            </w:r>
            <w:r w:rsidR="00177AB5" w:rsidRPr="009076ED">
              <w:rPr>
                <w:b/>
              </w:rPr>
              <w:t> </w:t>
            </w:r>
            <w:r w:rsidR="00D5618F" w:rsidRPr="009076ED">
              <w:rPr>
                <w:b/>
              </w:rPr>
              <w:t>:</w:t>
            </w:r>
            <w:r w:rsidR="00D5618F" w:rsidRPr="009076ED">
              <w:t xml:space="preserve"> </w:t>
            </w:r>
            <w:r w:rsidR="006061F7">
              <w:t>roman ; genre ; roman-mémoires ; roman de formation ; Bildungsroman ; les années 1730 ; individu ; roman et individu ; écriture de soi ; roman à la première personne ; Marivaux ; Prévost ; Mouhy ; Lesage ; XVIII</w:t>
            </w:r>
            <w:r w:rsidR="006061F7" w:rsidRPr="006061F7">
              <w:rPr>
                <w:vertAlign w:val="superscript"/>
              </w:rPr>
              <w:t>e</w:t>
            </w:r>
            <w:r w:rsidR="006061F7">
              <w:t xml:space="preserve"> siècle. </w:t>
            </w:r>
          </w:p>
        </w:tc>
      </w:tr>
    </w:tbl>
    <w:p w14:paraId="294E46EE" w14:textId="4636B449" w:rsidR="004E5E8F" w:rsidRPr="001A56E2" w:rsidRDefault="006061F7" w:rsidP="00542074">
      <w:pPr>
        <w:pStyle w:val="Couv4titrethese"/>
        <w:rPr>
          <w:lang w:val="en-US"/>
        </w:rPr>
      </w:pPr>
      <w:r w:rsidRPr="006061F7">
        <w:rPr>
          <w:lang w:val="en-US"/>
        </w:rPr>
        <w:t>Birth of the individual and emergence of the novel of formation: the contribution of the novel-memoirs of the years 1730</w:t>
      </w:r>
    </w:p>
    <w:tbl>
      <w:tblPr>
        <w:tblW w:w="4925" w:type="pct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42" w:type="dxa"/>
          <w:left w:w="170" w:type="dxa"/>
          <w:bottom w:w="142" w:type="dxa"/>
          <w:right w:w="170" w:type="dxa"/>
        </w:tblCellMar>
        <w:tblLook w:val="04A0" w:firstRow="1" w:lastRow="0" w:firstColumn="1" w:lastColumn="0" w:noHBand="0" w:noVBand="1"/>
      </w:tblPr>
      <w:tblGrid>
        <w:gridCol w:w="9147"/>
      </w:tblGrid>
      <w:tr w:rsidR="00177AB5" w:rsidRPr="00ED7E5F" w14:paraId="0D7E6054" w14:textId="77777777" w:rsidTr="00B116E8">
        <w:trPr>
          <w:trHeight w:val="4787"/>
        </w:trPr>
        <w:tc>
          <w:tcPr>
            <w:tcW w:w="0" w:type="auto"/>
            <w:shd w:val="clear" w:color="auto" w:fill="auto"/>
          </w:tcPr>
          <w:p w14:paraId="3B03E20B" w14:textId="77777777" w:rsidR="00177AB5" w:rsidRPr="00CD05CB" w:rsidRDefault="00177AB5" w:rsidP="00542074">
            <w:pPr>
              <w:pStyle w:val="Couv4titreresume"/>
              <w:rPr>
                <w:lang w:val="en-US"/>
              </w:rPr>
            </w:pPr>
            <w:r w:rsidRPr="00CD05CB">
              <w:rPr>
                <w:lang w:val="en-US"/>
              </w:rPr>
              <w:t>Summary</w:t>
            </w:r>
          </w:p>
          <w:p w14:paraId="2A8BD9EC" w14:textId="49AC5B71" w:rsidR="00B907CE" w:rsidRPr="009606CE" w:rsidRDefault="00B907CE" w:rsidP="00B907CE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critical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discourse on 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memoir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novel of the years 1730 often seems to hesitate between two antagonistic attitudes: either it discerns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in it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signs of a "birth of the individual" and sees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in it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emergence of the novel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of formation (Bildungsroman)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Or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considers these categories a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anachronistic: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did not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notion of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"individual" as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being conscious of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self and of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its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emotional interiority and as 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basic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element of which society is composed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only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appear in the second half of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ighteenth century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most notably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in the reflection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of Jean-Jacques Rousseau?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A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nd d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id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not the novel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of formation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find its prototype in Germany, with </w:t>
            </w:r>
            <w:r w:rsidRPr="009606CE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Goethe's </w:t>
            </w:r>
            <w:r w:rsidRPr="009606CE">
              <w:rPr>
                <w:rFonts w:asciiTheme="majorBidi" w:eastAsiaTheme="minorHAnsi" w:hAnsiTheme="majorBidi" w:cstheme="majorBidi"/>
                <w:i/>
                <w:iCs/>
                <w:sz w:val="20"/>
                <w:szCs w:val="20"/>
                <w:lang w:val="en-US" w:eastAsia="en-US"/>
              </w:rPr>
              <w:t>Wilhelm Meister's Apprenticeship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? But in reality,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Rousseau and Goethe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we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re both great readers of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memoir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novels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we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re clearly inspired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by them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in their writings. The present thesis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hop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es to show that 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memoir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novel of the years 1730 can be analyzed as a novel of formation, insofar as it describes the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constituent steps of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individual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identity and carries a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worldview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regarding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its place in social life.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However,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such a hypothesis implies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asking some questions about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this novelistic form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considered as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"rebellious to any order" (Henri Coulet,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D0F7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Le Roman </w:t>
            </w:r>
            <w:proofErr w:type="spellStart"/>
            <w:r w:rsidRPr="008D0F7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jusqu’à</w:t>
            </w:r>
            <w:proofErr w:type="spellEnd"/>
            <w:r w:rsidRPr="008D0F7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8D0F75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Révolution</w:t>
            </w:r>
            <w:proofErr w:type="spellEnd"/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): How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can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this novelistic form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be defined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? What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was its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role in the crystallization of the notion of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the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"individual"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,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as well as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that of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novel of formation?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hese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are the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questions that this thesis attempts to answer by analyzing some emblematic works of this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then 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new novelistic form, as well as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their importance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their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philosophical, aesthetic, political and anthropological dimensions and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their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contributions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 the advent of the individual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and the emergence of the novel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of formation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(</w:t>
            </w:r>
            <w:r w:rsidRPr="004307AD"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/>
              </w:rPr>
              <w:t>Bildungsroman</w:t>
            </w:r>
            <w:r w:rsidRPr="00E72EB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).</w:t>
            </w:r>
          </w:p>
          <w:p w14:paraId="52340468" w14:textId="77777777" w:rsidR="00B907CE" w:rsidRPr="009606CE" w:rsidRDefault="00B907CE" w:rsidP="00B907CE">
            <w:pPr>
              <w:pStyle w:val="Couv4texteresume"/>
              <w:rPr>
                <w:lang w:val="en-US"/>
              </w:rPr>
            </w:pPr>
          </w:p>
          <w:p w14:paraId="449B1B98" w14:textId="5D3CDE49" w:rsidR="00177AB5" w:rsidRPr="00CD05CB" w:rsidRDefault="00B907CE" w:rsidP="00B907CE">
            <w:pPr>
              <w:pStyle w:val="Couv4texteresume"/>
              <w:rPr>
                <w:lang w:val="en-US"/>
              </w:rPr>
            </w:pPr>
            <w:r w:rsidRPr="00CD05CB">
              <w:rPr>
                <w:b/>
                <w:lang w:val="en-US"/>
              </w:rPr>
              <w:t>Keywords:</w:t>
            </w:r>
            <w:r w:rsidRPr="00CD05CB">
              <w:rPr>
                <w:lang w:val="en-US"/>
              </w:rPr>
              <w:t xml:space="preserve"> </w:t>
            </w:r>
            <w:r w:rsidRPr="006061F7">
              <w:rPr>
                <w:lang w:val="en-US"/>
              </w:rPr>
              <w:t>novel; gen</w:t>
            </w:r>
            <w:r>
              <w:rPr>
                <w:lang w:val="en-US"/>
              </w:rPr>
              <w:t>re</w:t>
            </w:r>
            <w:r w:rsidRPr="006061F7">
              <w:rPr>
                <w:lang w:val="en-US"/>
              </w:rPr>
              <w:t xml:space="preserve">; </w:t>
            </w:r>
            <w:r>
              <w:rPr>
                <w:lang w:val="en-US"/>
              </w:rPr>
              <w:t>memoir novel</w:t>
            </w:r>
            <w:r w:rsidRPr="006061F7">
              <w:rPr>
                <w:lang w:val="en-US"/>
              </w:rPr>
              <w:t>; novel of formation; Bildungsroman;</w:t>
            </w:r>
            <w:r>
              <w:rPr>
                <w:lang w:val="en-US"/>
              </w:rPr>
              <w:t xml:space="preserve"> coming-of-age novel;</w:t>
            </w:r>
            <w:r w:rsidR="00ED7E5F">
              <w:rPr>
                <w:lang w:val="en-US"/>
              </w:rPr>
              <w:t xml:space="preserve"> 1730</w:t>
            </w:r>
            <w:bookmarkStart w:id="0" w:name="_GoBack"/>
            <w:bookmarkEnd w:id="0"/>
            <w:r w:rsidRPr="006061F7">
              <w:rPr>
                <w:lang w:val="en-US"/>
              </w:rPr>
              <w:t xml:space="preserve">; individual; novel and individual; </w:t>
            </w:r>
            <w:proofErr w:type="spellStart"/>
            <w:r w:rsidRPr="006061F7">
              <w:rPr>
                <w:lang w:val="en-US"/>
              </w:rPr>
              <w:t>self</w:t>
            </w:r>
            <w:r>
              <w:rPr>
                <w:lang w:val="en-US"/>
              </w:rPr>
              <w:t xml:space="preserve"> </w:t>
            </w:r>
            <w:r w:rsidRPr="006061F7">
              <w:rPr>
                <w:lang w:val="en-US"/>
              </w:rPr>
              <w:t>writing</w:t>
            </w:r>
            <w:proofErr w:type="spellEnd"/>
            <w:r w:rsidRPr="006061F7"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first-person </w:t>
            </w:r>
            <w:r w:rsidRPr="006061F7">
              <w:rPr>
                <w:lang w:val="en-US"/>
              </w:rPr>
              <w:t xml:space="preserve">novel; Marivaux; Prevost; Mouhy; Lesage; </w:t>
            </w:r>
            <w:r>
              <w:rPr>
                <w:lang w:val="en-US"/>
              </w:rPr>
              <w:t>e</w:t>
            </w:r>
            <w:r w:rsidRPr="006061F7">
              <w:rPr>
                <w:lang w:val="en-US"/>
              </w:rPr>
              <w:t>ighteenth century.</w:t>
            </w:r>
          </w:p>
        </w:tc>
      </w:tr>
    </w:tbl>
    <w:p w14:paraId="44421C48" w14:textId="1689FE69" w:rsidR="00E87254" w:rsidRPr="00E87254" w:rsidRDefault="00AF75A7" w:rsidP="00AF75A7">
      <w:pPr>
        <w:pStyle w:val="Couv4universite"/>
      </w:pPr>
      <w:r>
        <w:t xml:space="preserve">UNIVERSITÉ </w:t>
      </w:r>
      <w:r w:rsidR="00E87254" w:rsidRPr="00542074">
        <w:t>SORBONNE</w:t>
      </w:r>
      <w:r>
        <w:t xml:space="preserve"> UNIVERSITÉ</w:t>
      </w:r>
    </w:p>
    <w:p w14:paraId="3743BE9D" w14:textId="77777777" w:rsidR="00E87254" w:rsidRDefault="00E87254" w:rsidP="00542074">
      <w:pPr>
        <w:pStyle w:val="Couv4ecole"/>
      </w:pPr>
    </w:p>
    <w:p w14:paraId="3CF45950" w14:textId="77777777" w:rsidR="004E5E8F" w:rsidRPr="00542074" w:rsidRDefault="00D5618F" w:rsidP="009606CE">
      <w:pPr>
        <w:pStyle w:val="Couv4ecole"/>
        <w:outlineLvl w:val="0"/>
        <w:rPr>
          <w:b/>
        </w:rPr>
      </w:pPr>
      <w:r w:rsidRPr="00542074">
        <w:rPr>
          <w:b/>
        </w:rPr>
        <w:t>ÉCOLE DOCTORALE :</w:t>
      </w:r>
    </w:p>
    <w:p w14:paraId="05132875" w14:textId="08A7B577" w:rsidR="00D5618F" w:rsidRPr="00151F2A" w:rsidRDefault="00042D55" w:rsidP="00542074">
      <w:pPr>
        <w:pStyle w:val="Couv4ecole"/>
      </w:pPr>
      <w:r w:rsidRPr="007A5387">
        <w:t xml:space="preserve">ÉCOLE DOCTORALE </w:t>
      </w:r>
      <w:r>
        <w:t>III, Littérature française et comparée (ED0030)</w:t>
      </w:r>
    </w:p>
    <w:p w14:paraId="4B03D48A" w14:textId="3BB13FCD" w:rsidR="004E5E8F" w:rsidRPr="00151F2A" w:rsidRDefault="00D5618F" w:rsidP="00542074">
      <w:pPr>
        <w:pStyle w:val="Couv4ecole"/>
      </w:pPr>
      <w:r w:rsidRPr="00151F2A">
        <w:t xml:space="preserve">Maison de la Recherche, 28 rue Serpente, 75006 Paris, </w:t>
      </w:r>
      <w:r w:rsidRPr="00151F2A">
        <w:rPr>
          <w:smallCaps/>
        </w:rPr>
        <w:t>France</w:t>
      </w:r>
    </w:p>
    <w:p w14:paraId="6CFD8946" w14:textId="77777777" w:rsidR="004E5E8F" w:rsidRPr="00151F2A" w:rsidRDefault="004E5E8F" w:rsidP="00542074">
      <w:pPr>
        <w:pStyle w:val="Couv4ecole"/>
      </w:pPr>
    </w:p>
    <w:p w14:paraId="558825C9" w14:textId="1F09858A" w:rsidR="004E5E8F" w:rsidRPr="00151F2A" w:rsidRDefault="00D5618F" w:rsidP="00542074">
      <w:pPr>
        <w:pStyle w:val="Couv4ecole"/>
      </w:pPr>
      <w:r w:rsidRPr="00542074">
        <w:rPr>
          <w:b/>
        </w:rPr>
        <w:t>DISCIPLINE :</w:t>
      </w:r>
      <w:r w:rsidR="00E87254">
        <w:t xml:space="preserve"> </w:t>
      </w:r>
      <w:r w:rsidR="00042D55">
        <w:t>Littérature française du XVIII</w:t>
      </w:r>
      <w:r w:rsidR="00042D55" w:rsidRPr="002E2F80">
        <w:rPr>
          <w:vertAlign w:val="superscript"/>
        </w:rPr>
        <w:t>e</w:t>
      </w:r>
      <w:r w:rsidR="00042D55">
        <w:rPr>
          <w:vertAlign w:val="superscript"/>
        </w:rPr>
        <w:t xml:space="preserve"> </w:t>
      </w:r>
      <w:r w:rsidR="00042D55">
        <w:t>siècle</w:t>
      </w:r>
    </w:p>
    <w:sectPr w:rsidR="004E5E8F" w:rsidRPr="00151F2A" w:rsidSect="00C56237">
      <w:pgSz w:w="11900" w:h="16840"/>
      <w:pgMar w:top="568" w:right="1304" w:bottom="425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B3ED" w14:textId="77777777" w:rsidR="00E46982" w:rsidRDefault="00E46982" w:rsidP="001F6BEA">
      <w:r>
        <w:separator/>
      </w:r>
    </w:p>
  </w:endnote>
  <w:endnote w:type="continuationSeparator" w:id="0">
    <w:p w14:paraId="3B5F4893" w14:textId="77777777" w:rsidR="00E46982" w:rsidRDefault="00E46982" w:rsidP="001F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3F64" w14:textId="77777777" w:rsidR="00E46982" w:rsidRDefault="00E46982" w:rsidP="001F6BEA">
      <w:r>
        <w:separator/>
      </w:r>
    </w:p>
  </w:footnote>
  <w:footnote w:type="continuationSeparator" w:id="0">
    <w:p w14:paraId="2C0CC5E4" w14:textId="77777777" w:rsidR="00E46982" w:rsidRDefault="00E46982" w:rsidP="001F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3"/>
    <w:rsid w:val="000417B6"/>
    <w:rsid w:val="00042D55"/>
    <w:rsid w:val="00084319"/>
    <w:rsid w:val="00141523"/>
    <w:rsid w:val="00151F2A"/>
    <w:rsid w:val="00165206"/>
    <w:rsid w:val="00172CA6"/>
    <w:rsid w:val="0017385B"/>
    <w:rsid w:val="00177AB5"/>
    <w:rsid w:val="001A56E2"/>
    <w:rsid w:val="001F6BEA"/>
    <w:rsid w:val="002718DB"/>
    <w:rsid w:val="00275501"/>
    <w:rsid w:val="002C3A84"/>
    <w:rsid w:val="002D6F63"/>
    <w:rsid w:val="0033252E"/>
    <w:rsid w:val="003B14A1"/>
    <w:rsid w:val="0040694D"/>
    <w:rsid w:val="004307AD"/>
    <w:rsid w:val="004339A9"/>
    <w:rsid w:val="00450723"/>
    <w:rsid w:val="00482404"/>
    <w:rsid w:val="004B2AE5"/>
    <w:rsid w:val="004E5E8F"/>
    <w:rsid w:val="004F5BF2"/>
    <w:rsid w:val="00522534"/>
    <w:rsid w:val="00542074"/>
    <w:rsid w:val="00574D3D"/>
    <w:rsid w:val="005C2029"/>
    <w:rsid w:val="005D21EB"/>
    <w:rsid w:val="006061F7"/>
    <w:rsid w:val="0065746F"/>
    <w:rsid w:val="006B4EC7"/>
    <w:rsid w:val="007C0B52"/>
    <w:rsid w:val="0087305F"/>
    <w:rsid w:val="008D6409"/>
    <w:rsid w:val="009076ED"/>
    <w:rsid w:val="00943F29"/>
    <w:rsid w:val="009606CE"/>
    <w:rsid w:val="00980E3D"/>
    <w:rsid w:val="009E51BD"/>
    <w:rsid w:val="00A14C12"/>
    <w:rsid w:val="00A31D45"/>
    <w:rsid w:val="00A42B28"/>
    <w:rsid w:val="00AA4BAE"/>
    <w:rsid w:val="00AB0BFC"/>
    <w:rsid w:val="00AE6378"/>
    <w:rsid w:val="00AF75A7"/>
    <w:rsid w:val="00B116E8"/>
    <w:rsid w:val="00B907CE"/>
    <w:rsid w:val="00C07B46"/>
    <w:rsid w:val="00C14B88"/>
    <w:rsid w:val="00C56237"/>
    <w:rsid w:val="00C856E2"/>
    <w:rsid w:val="00CD05CB"/>
    <w:rsid w:val="00CF3835"/>
    <w:rsid w:val="00D04F1B"/>
    <w:rsid w:val="00D53E2B"/>
    <w:rsid w:val="00D5618F"/>
    <w:rsid w:val="00DF164D"/>
    <w:rsid w:val="00E46982"/>
    <w:rsid w:val="00E72EB4"/>
    <w:rsid w:val="00E87254"/>
    <w:rsid w:val="00ED7E5F"/>
    <w:rsid w:val="00F12096"/>
    <w:rsid w:val="00F6063E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A617F"/>
  <w14:defaultImageDpi w14:val="300"/>
  <w15:docId w15:val="{D5475F3F-52AA-074B-BEA3-9355F432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CB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074"/>
    <w:rPr>
      <w:rFonts w:ascii="Lucida Grande" w:hAnsi="Lucida Grande" w:cs="Lucida Grande"/>
      <w:sz w:val="18"/>
      <w:szCs w:val="18"/>
    </w:rPr>
  </w:style>
  <w:style w:type="character" w:styleId="Appelnotedebasdep">
    <w:name w:val="footnote reference"/>
    <w:semiHidden/>
    <w:rsid w:val="00574D3D"/>
    <w:rPr>
      <w:color w:val="FF0000"/>
      <w:vertAlign w:val="superscript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542074"/>
    <w:rPr>
      <w:rFonts w:ascii="Lucida Grande" w:hAnsi="Lucida Grande" w:cs="Lucida Grande"/>
      <w:sz w:val="18"/>
      <w:szCs w:val="18"/>
      <w:lang w:val="fr-FR"/>
    </w:rPr>
  </w:style>
  <w:style w:type="paragraph" w:customStyle="1" w:styleId="Couv4titrethese">
    <w:name w:val="Couv4 titre these"/>
    <w:qFormat/>
    <w:rsid w:val="00542074"/>
    <w:pPr>
      <w:spacing w:before="420" w:after="180"/>
    </w:pPr>
    <w:rPr>
      <w:rFonts w:ascii="Times New Roman" w:hAnsi="Times New Roman"/>
      <w:b/>
      <w:sz w:val="28"/>
      <w:szCs w:val="28"/>
    </w:rPr>
  </w:style>
  <w:style w:type="paragraph" w:customStyle="1" w:styleId="Couv4titreresume">
    <w:name w:val="Couv4 titre resume"/>
    <w:basedOn w:val="Normal"/>
    <w:qFormat/>
    <w:rsid w:val="00542074"/>
    <w:pPr>
      <w:spacing w:after="240"/>
    </w:pPr>
    <w:rPr>
      <w:rFonts w:ascii="Times New Roman" w:hAnsi="Times New Roman"/>
      <w:sz w:val="26"/>
      <w:szCs w:val="26"/>
    </w:rPr>
  </w:style>
  <w:style w:type="paragraph" w:customStyle="1" w:styleId="Couv4ecole">
    <w:name w:val="Couv4 ecole"/>
    <w:qFormat/>
    <w:rsid w:val="000417B6"/>
    <w:rPr>
      <w:rFonts w:ascii="Times New Roman" w:hAnsi="Times New Roman"/>
      <w:sz w:val="22"/>
      <w:szCs w:val="22"/>
    </w:rPr>
  </w:style>
  <w:style w:type="paragraph" w:customStyle="1" w:styleId="Couv4universite">
    <w:name w:val="Couv4 universite"/>
    <w:basedOn w:val="Normal"/>
    <w:qFormat/>
    <w:rsid w:val="00542074"/>
    <w:pPr>
      <w:spacing w:before="360"/>
    </w:pPr>
    <w:rPr>
      <w:rFonts w:ascii="Times New Roman" w:hAnsi="Times New Roman"/>
      <w:sz w:val="22"/>
      <w:szCs w:val="22"/>
    </w:rPr>
  </w:style>
  <w:style w:type="table" w:styleId="Grilledutableau">
    <w:name w:val="Table Grid"/>
    <w:basedOn w:val="TableauNormal"/>
    <w:uiPriority w:val="59"/>
    <w:rsid w:val="004E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v4texteresume">
    <w:name w:val="Couv4 texte resume"/>
    <w:basedOn w:val="Normal"/>
    <w:rsid w:val="00542074"/>
    <w:pPr>
      <w:outlineLvl w:val="0"/>
    </w:pPr>
    <w:rPr>
      <w:rFonts w:ascii="Times New Roman" w:eastAsia="Times New Roman" w:hAnsi="Times New Roman"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F120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20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209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20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2096"/>
    <w:rPr>
      <w:b/>
      <w:bCs/>
    </w:rPr>
  </w:style>
  <w:style w:type="paragraph" w:styleId="Rvision">
    <w:name w:val="Revision"/>
    <w:hidden/>
    <w:uiPriority w:val="99"/>
    <w:semiHidden/>
    <w:rsid w:val="00AA4B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10BB6-3B98-A249-9700-DFFFAEAC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683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Laïth Ibrahim</dc:creator>
  <cp:keywords/>
  <dc:description/>
  <cp:lastModifiedBy>Laïth Ibrahim</cp:lastModifiedBy>
  <cp:revision>4</cp:revision>
  <cp:lastPrinted>2013-11-01T03:34:00Z</cp:lastPrinted>
  <dcterms:created xsi:type="dcterms:W3CDTF">2018-04-27T18:07:00Z</dcterms:created>
  <dcterms:modified xsi:type="dcterms:W3CDTF">2018-04-30T05:44:00Z</dcterms:modified>
  <cp:category/>
</cp:coreProperties>
</file>